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F6" w:rsidRPr="00C4095B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095B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Утверждено приказом директора 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МБОУ «Газопроводская средняя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общеобразовательная школа»</w:t>
      </w:r>
    </w:p>
    <w:p w:rsidR="00F826F6" w:rsidRPr="00C4095B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от 01.09.2017г. № 138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</w:p>
    <w:p w:rsidR="00F826F6" w:rsidRPr="006007ED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внутреннего распорядка учащихся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организации, с учетом мнения совета учащихся и совета родителей.</w:t>
      </w:r>
      <w:proofErr w:type="gramEnd"/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 МБОУ «Газопроводская средняя общеобразовательная школа» 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ученического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ителей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 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Календарный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Учебные занятия начинаются в 8 часов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0 минут.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Для всех классов устанавливается пятидневная учебная неделя.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арного врача РФ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урока во 2–</w:t>
      </w:r>
      <w:r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Для учащихся 1-х классов устанавливается следующий ежедневный режим занятий: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ноябре и декабре — по 4 урока продолжительностью 35 минут;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</w:t>
      </w:r>
      <w:r>
        <w:rPr>
          <w:rFonts w:ascii="Times New Roman" w:hAnsi="Times New Roman" w:cs="Times New Roman"/>
          <w:sz w:val="24"/>
          <w:szCs w:val="24"/>
          <w:lang w:val="ru-RU"/>
        </w:rPr>
        <w:t>родолжительностью 45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составляет: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1-го урока —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2 и 3-го урока —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>
        <w:rPr>
          <w:rFonts w:ascii="Times New Roman" w:hAnsi="Times New Roman" w:cs="Times New Roman"/>
          <w:sz w:val="24"/>
          <w:szCs w:val="24"/>
          <w:lang w:val="ru-RU"/>
        </w:rPr>
        <w:t>4, 5, 6-го урока — 15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Учащиеся до</w:t>
      </w:r>
      <w:r>
        <w:rPr>
          <w:rFonts w:ascii="Times New Roman" w:hAnsi="Times New Roman" w:cs="Times New Roman"/>
          <w:sz w:val="24"/>
          <w:szCs w:val="24"/>
          <w:lang w:val="ru-RU"/>
        </w:rPr>
        <w:t>лжны приходить в ОО не позднее 7 часов 55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 Опоздание на уроки недопустимо.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родителей (законных представителем).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  <w:proofErr w:type="gramEnd"/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порядке, установленном положением об освоении предметов, курсов, дисциплин (модулей);</w:t>
      </w:r>
      <w:proofErr w:type="gramEnd"/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Правил);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 и положением о совете учащихся;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F826F6" w:rsidRPr="00C70F26" w:rsidRDefault="00F826F6" w:rsidP="00F82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 положением;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 Учащиеся обязаны: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запрещается: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proofErr w:type="gramEnd"/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Выплата стипендии осуществляется за счет дополнительных финансовых средств учащимся 5–11-х классов за отличную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спеваемость по всем предметам по итогам года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медалью осуществляется решением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педагогического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F826F6" w:rsidRPr="00C70F26" w:rsidRDefault="00F826F6" w:rsidP="00F8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6.4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незамедлительно проинформировать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об отчислении несовершеннолетнего обучающегося в качестве меры дисциплинарного взыскания.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Pr="00FA3F04" w:rsidRDefault="00F826F6" w:rsidP="00F826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3F04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работников школы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1.Работники школы в рамках Устава школы несут ответственность за условия обучения и сохранность здоровья обучающихся.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2.За сохранность сотовых телефонов, игровых приставок и других ценных вещей, находящихся в пользовании учащихся,  школа ответственность не несёт.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6.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6.1.1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F826F6" w:rsidRPr="00C70F2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6.1.2.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6.1.3.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F826F6" w:rsidRDefault="00F826F6" w:rsidP="00F826F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2410" w:rsidRPr="00F826F6" w:rsidRDefault="004C2410">
      <w:pPr>
        <w:rPr>
          <w:lang w:val="ru-RU"/>
        </w:rPr>
      </w:pPr>
      <w:bookmarkStart w:id="0" w:name="_GoBack"/>
      <w:bookmarkEnd w:id="0"/>
    </w:p>
    <w:sectPr w:rsidR="004C2410" w:rsidRPr="00F826F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F6"/>
    <w:rsid w:val="004C2410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F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F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2529</Words>
  <Characters>14419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2017-10-24T11:35:00Z</dcterms:created>
  <dcterms:modified xsi:type="dcterms:W3CDTF">2017-10-24T11:36:00Z</dcterms:modified>
</cp:coreProperties>
</file>